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101AA" w:rsidRDefault="005101AA">
      <w:pPr>
        <w:jc w:val="center"/>
        <w:rPr>
          <w:b/>
          <w:bCs/>
          <w:sz w:val="28"/>
          <w:szCs w:val="28"/>
        </w:rPr>
      </w:pPr>
      <w:bookmarkStart w:id="0" w:name="_GoBack"/>
      <w:bookmarkEnd w:id="0"/>
      <w:r>
        <w:rPr>
          <w:b/>
          <w:bCs/>
          <w:sz w:val="28"/>
          <w:szCs w:val="28"/>
        </w:rPr>
        <w:t>Gedenkdag CHIARA LUBICH</w:t>
      </w:r>
    </w:p>
    <w:p w:rsidR="005101AA" w:rsidRDefault="005101AA">
      <w:pPr>
        <w:jc w:val="center"/>
        <w:rPr>
          <w:i/>
          <w:iCs/>
          <w:sz w:val="28"/>
          <w:szCs w:val="28"/>
        </w:rPr>
      </w:pPr>
      <w:r>
        <w:rPr>
          <w:i/>
          <w:iCs/>
          <w:sz w:val="28"/>
          <w:szCs w:val="28"/>
        </w:rPr>
        <w:t>Vrijheid, Gelijkheid en Broederschap....</w:t>
      </w:r>
    </w:p>
    <w:p w:rsidR="005101AA" w:rsidRDefault="005101AA">
      <w:pPr>
        <w:jc w:val="center"/>
        <w:rPr>
          <w:b/>
          <w:bCs/>
          <w:sz w:val="28"/>
          <w:szCs w:val="28"/>
        </w:rPr>
      </w:pPr>
      <w:r>
        <w:rPr>
          <w:b/>
          <w:bCs/>
          <w:sz w:val="28"/>
          <w:szCs w:val="28"/>
        </w:rPr>
        <w:t>GELIJKHEID</w:t>
      </w:r>
    </w:p>
    <w:p w:rsidR="005101AA" w:rsidRDefault="005101AA">
      <w:pPr>
        <w:rPr>
          <w:rFonts w:cstheme="minorBidi"/>
          <w:b/>
          <w:bCs/>
          <w:sz w:val="28"/>
          <w:szCs w:val="28"/>
        </w:rPr>
      </w:pPr>
    </w:p>
    <w:p w:rsidR="005101AA" w:rsidRDefault="005101AA">
      <w:pPr>
        <w:rPr>
          <w:i/>
          <w:iCs/>
        </w:rPr>
      </w:pPr>
      <w:r>
        <w:rPr>
          <w:i/>
          <w:iCs/>
        </w:rPr>
        <w:t xml:space="preserve">Het thema ‘Gelijkheid’ zal ik vanmiddag vanuit de ‘gelijkheid voor de wet’ aanstippen én vanuit ‘gelijkheid in de samenleving’. Ik zal ook ingaan op wat </w:t>
      </w:r>
      <w:r>
        <w:rPr>
          <w:b/>
          <w:bCs/>
          <w:i/>
          <w:iCs/>
        </w:rPr>
        <w:t>on</w:t>
      </w:r>
      <w:r>
        <w:rPr>
          <w:i/>
          <w:iCs/>
        </w:rPr>
        <w:t xml:space="preserve">gelijkheid in de samenleving met mensen kan doen. </w:t>
      </w:r>
    </w:p>
    <w:p w:rsidR="005101AA" w:rsidRDefault="005101AA">
      <w:pPr>
        <w:rPr>
          <w:i/>
          <w:iCs/>
        </w:rPr>
      </w:pPr>
      <w:r>
        <w:rPr>
          <w:i/>
          <w:iCs/>
        </w:rPr>
        <w:t>Daarna ga ik kort in op de vraag wat we kunnen doen om de ongelijkheid kleiner te laten worden en hoe we onszelf kunnen versterken om ons in te zetten voor meer gelijkheid.</w:t>
      </w:r>
    </w:p>
    <w:p w:rsidR="005101AA" w:rsidRDefault="005101AA">
      <w:pPr>
        <w:rPr>
          <w:i/>
          <w:iCs/>
        </w:rPr>
      </w:pPr>
      <w:r>
        <w:rPr>
          <w:i/>
          <w:iCs/>
        </w:rPr>
        <w:t>Én u zult ook even met elkaar in gesprek kunnen gaan!</w:t>
      </w:r>
    </w:p>
    <w:p w:rsidR="005101AA" w:rsidRDefault="005101AA">
      <w:pPr>
        <w:rPr>
          <w:i/>
          <w:iCs/>
        </w:rPr>
      </w:pPr>
    </w:p>
    <w:p w:rsidR="005101AA" w:rsidRDefault="005101AA">
      <w:r>
        <w:t xml:space="preserve">Toen mij werd gevraagd om vandaag over gelijkheid te spreken vroeg ik me af wat het woord “gelijkheid” in mij opriep.. Gelijkheid: iedereen hetzelfde? Nee, dat zou de wereld saai maken. Gelijkheid... </w:t>
      </w:r>
    </w:p>
    <w:p w:rsidR="005101AA" w:rsidRDefault="005101AA">
      <w:r>
        <w:t>Onderweg hierheen schoot me opeens iets te binnen dat rond 2002 plaats vond. Het kabinet Balkenende was aangetreden en Jan Peter Balkenende (die ik kende van symposia in de jaren ’90) startte  het debat over integratie van allochtonen en onze waarden en normen die hij ook voor hen belangrijk vond. Ik heb hem toen geschreven omdat ik wel begreep dat hij doelde op christelijke waarden als naastenliefde, omzien naar elkaar e.d. – maar dat ik me afvroeg waar allochtonen daarmee kennis mee konden maken. Want in de wijken waar zij veelal woonden kregen zij toch vooral te maken met mensen voor wie de samenleving geen werk (meer) had en waarden...? Dat waren de ‘waarden’ die ze op televisie zagen: het draait om geld, macht en sex..</w:t>
      </w:r>
    </w:p>
    <w:p w:rsidR="005101AA" w:rsidRDefault="005101AA">
      <w:r>
        <w:t xml:space="preserve"> </w:t>
      </w:r>
    </w:p>
    <w:p w:rsidR="005101AA" w:rsidRDefault="005101AA">
      <w:r>
        <w:t xml:space="preserve">Voor ik verder ga, wil ik echter eerst aan u vragen om na te denken over ‘gelijkheid’. Of desnoods: ‘ongelijkheid’ – heeft u daar een voorbeeld van? Kunt u een recent voorbeeld van ongelijke behandeling noemen? Vertelt u dan het voorbeeld aan degene die naast u zit. </w:t>
      </w:r>
    </w:p>
    <w:p w:rsidR="005101AA" w:rsidRDefault="005101AA">
      <w:r>
        <w:t>Neem de tijd, ik wacht wel even!</w:t>
      </w:r>
    </w:p>
    <w:p w:rsidR="005101AA" w:rsidRDefault="005101AA">
      <w:pPr>
        <w:rPr>
          <w:rFonts w:cstheme="minorBidi"/>
        </w:rPr>
      </w:pPr>
      <w:r>
        <w:t>.............</w:t>
      </w:r>
    </w:p>
    <w:p w:rsidR="005101AA" w:rsidRDefault="005101AA">
      <w:r>
        <w:t>Wat ik zojuist zag, is dat dit thema kennelijk heel veel bij u oproept, zo levendig als u met elkaar in gesprek was!</w:t>
      </w:r>
    </w:p>
    <w:p w:rsidR="005101AA" w:rsidRDefault="005101AA">
      <w:pPr>
        <w:rPr>
          <w:i/>
          <w:iCs/>
        </w:rPr>
      </w:pPr>
      <w:r>
        <w:t xml:space="preserve">Misschien heeft u wel het voorbeeld genoemd dat deze week speelde, dat van de dame aan wie een baan werd geweigerd omdat ze een hoofddoek droeg. </w:t>
      </w:r>
      <w:r>
        <w:rPr>
          <w:i/>
          <w:iCs/>
        </w:rPr>
        <w:t>Zij kan met een klacht naar de rechter gaan.</w:t>
      </w:r>
    </w:p>
    <w:p w:rsidR="005101AA" w:rsidRDefault="005101AA">
      <w:r>
        <w:rPr>
          <w:rFonts w:cstheme="minorBidi"/>
        </w:rPr>
        <w:br/>
      </w:r>
      <w:r>
        <w:t xml:space="preserve">Want we hebben in Nederland een grondwet die onze rechten beschermt. </w:t>
      </w:r>
      <w:r>
        <w:rPr>
          <w:i/>
          <w:iCs/>
        </w:rPr>
        <w:t xml:space="preserve">“Allen die zich in Nederland bevinden, worden in gelijke gevallen gelijk behandeld. Discriminatie wegens godsdienst, levensovertuiging, politieke gezindheid, ras, geslacht of op welke grond dan ook, is niet toegestaan.” </w:t>
      </w:r>
      <w:r>
        <w:t xml:space="preserve">(Art. 1 van onze Grondwet). </w:t>
      </w:r>
    </w:p>
    <w:p w:rsidR="005101AA" w:rsidRDefault="005101AA"/>
    <w:p w:rsidR="005101AA" w:rsidRDefault="005101AA">
      <w:r>
        <w:t xml:space="preserve">De wet zegt dus: in gelijke gevallen wordt men gelijk behandeld. Misschien vraagt u zich af waarom dat belangrijk is? Het antwoord is simpel: </w:t>
      </w:r>
      <w:r>
        <w:rPr>
          <w:b/>
          <w:bCs/>
          <w:i/>
          <w:iCs/>
        </w:rPr>
        <w:t>gelijke behandeling van ONgelijken VERGROOT DE ONGELIJKHEID.</w:t>
      </w:r>
      <w:r>
        <w:t xml:space="preserve"> </w:t>
      </w:r>
    </w:p>
    <w:p w:rsidR="005101AA" w:rsidRDefault="005101AA">
      <w:r>
        <w:t xml:space="preserve">Zo zal iemand met een hoog inkomen minder last hebben van bv. 25% belastingheffing, dan iemand die met 850,- euro moet rondkomen. </w:t>
      </w:r>
    </w:p>
    <w:p w:rsidR="005101AA" w:rsidRDefault="005101AA"/>
    <w:p w:rsidR="005101AA" w:rsidRDefault="005101AA">
      <w:r>
        <w:t>Ik noem dit financiële voorbeeld omdat de laatste jaren de discussie weer is ontstaan over arm en rijk. Er is sprake van toenemende financiële ongelijkheid. Want gelijkheid voor de wet creëert niet automatisch maatschappelijke gelijkheid en een betere samenleving.  De groter geworden economische ongelijkheid heeft grote effecten op de samenleving en op het welbevinden van mensen. Er is sprake van meer ontevredenheid, wantrouwen, cynisme, obesitas, verslavingen, psychische klachten om maar wat te noemen.</w:t>
      </w:r>
    </w:p>
    <w:p w:rsidR="005101AA" w:rsidRDefault="005101AA">
      <w:r>
        <w:t xml:space="preserve"> </w:t>
      </w:r>
    </w:p>
    <w:p w:rsidR="005101AA" w:rsidRDefault="005101AA">
      <w:pPr>
        <w:rPr>
          <w:b/>
          <w:bCs/>
        </w:rPr>
      </w:pPr>
      <w:r>
        <w:t xml:space="preserve">Onderzoek van bijvoorbeeld de epidemiologen Kate Pickett en Richard Wilkinson heeft aangetoond DAT VERMINDERING VAN ONGELIJKHEID IEDEREEN TEN GOEDE KOMT. </w:t>
      </w:r>
      <w:r>
        <w:rPr>
          <w:b/>
          <w:bCs/>
        </w:rPr>
        <w:t xml:space="preserve">In een samenleving waar sprake is van </w:t>
      </w:r>
      <w:r>
        <w:rPr>
          <w:b/>
          <w:bCs/>
          <w:i/>
          <w:iCs/>
        </w:rPr>
        <w:t>minder</w:t>
      </w:r>
      <w:r>
        <w:rPr>
          <w:b/>
          <w:bCs/>
        </w:rPr>
        <w:t xml:space="preserve"> </w:t>
      </w:r>
      <w:r>
        <w:rPr>
          <w:b/>
          <w:bCs/>
          <w:i/>
          <w:iCs/>
        </w:rPr>
        <w:t>grote</w:t>
      </w:r>
      <w:r>
        <w:rPr>
          <w:b/>
          <w:bCs/>
        </w:rPr>
        <w:t xml:space="preserve"> inkomensverschillen zien mensen meer kansen om een betere situatie te bereiken, ze blijken langer te leven, kinderen doen het beter op school, de kindersterfte is lager, er is sprake van minder geweld, minder verslaving, minder obesitas, minder geestesziekten en meer vertrouwen – en de economie blijkt het beter te doen. </w:t>
      </w:r>
    </w:p>
    <w:p w:rsidR="005101AA" w:rsidRDefault="005101AA">
      <w:pPr>
        <w:rPr>
          <w:rFonts w:cstheme="minorBidi"/>
        </w:rPr>
      </w:pPr>
    </w:p>
    <w:p w:rsidR="005101AA" w:rsidRDefault="005101AA">
      <w:r>
        <w:t xml:space="preserve">(Zie ook: het boek ‘The Spirit Level’ van Kate Pickett en Richard Wilkinson en op internet kunt u kijken naar de uitzendingen van de VARA over Vrijheid, Gelijkheid en Broederschap </w:t>
      </w:r>
      <w:hyperlink r:id="rId6" w:history="1">
        <w:r>
          <w:rPr>
            <w:rStyle w:val="Hyperlink"/>
          </w:rPr>
          <w:t>http://vara.nl/Aflevering-2-Gelijkheid.10998.0.html</w:t>
        </w:r>
      </w:hyperlink>
      <w:r>
        <w:t>)</w:t>
      </w:r>
    </w:p>
    <w:p w:rsidR="005101AA" w:rsidRDefault="005101AA"/>
    <w:p w:rsidR="005101AA" w:rsidRDefault="005101AA">
      <w:r>
        <w:t xml:space="preserve">Een en ander hangt samen met de zelfwaarde van mensen, het respect dat ze krijgen, het status-gevoel. We vergelijken ons met anderen. Een mens is een sociaal wezen en de plek die je inneemt in de samenleving is gekoppeld aan je welbevinden. </w:t>
      </w:r>
    </w:p>
    <w:p w:rsidR="005101AA" w:rsidRDefault="005101AA">
      <w:r>
        <w:t xml:space="preserve">Wat bij mij de vraag oproept: hoe kan ik werken aan mijn zekerheid, mijn zelfvertrouwen, zodat vanuit die positieve houding mijn kijk naar de ander vriendelijk wordt, met warmte, compassie. </w:t>
      </w:r>
    </w:p>
    <w:p w:rsidR="005101AA" w:rsidRDefault="005101AA"/>
    <w:p w:rsidR="005101AA" w:rsidRDefault="005101AA">
      <w:pPr>
        <w:rPr>
          <w:i/>
          <w:iCs/>
        </w:rPr>
      </w:pPr>
      <w:r>
        <w:t xml:space="preserve">Wij hebben in onze taal een niet bepaald gelukkige woordkeus met “de </w:t>
      </w:r>
      <w:r>
        <w:rPr>
          <w:b/>
          <w:bCs/>
        </w:rPr>
        <w:t xml:space="preserve">onderkant </w:t>
      </w:r>
      <w:r>
        <w:t xml:space="preserve">van de samenleving”. Kan iemand me zeggen hoe dat voelt, die onderkant.....?? Je zult maar in die “ONDERKANT” zitten... </w:t>
      </w:r>
      <w:r>
        <w:rPr>
          <w:i/>
          <w:iCs/>
        </w:rPr>
        <w:t>(Vanuit de zaal: “Verschrikkelijk”, “Afschuwelijk”..)</w:t>
      </w:r>
    </w:p>
    <w:p w:rsidR="005101AA" w:rsidRDefault="005101AA">
      <w:pPr>
        <w:rPr>
          <w:rFonts w:cstheme="minorBidi"/>
        </w:rPr>
      </w:pPr>
    </w:p>
    <w:p w:rsidR="005101AA" w:rsidRDefault="005101AA">
      <w:r>
        <w:t>Ja, verschrikkelijk. Je schaamt je of voelt je vernederd, want de rest loopt dus kennelijk over je heen. Waar is je macht om iets aan je situatie te veranderen?</w:t>
      </w:r>
    </w:p>
    <w:p w:rsidR="005101AA" w:rsidRDefault="005101AA">
      <w:pPr>
        <w:rPr>
          <w:i/>
          <w:iCs/>
        </w:rPr>
      </w:pPr>
      <w:r>
        <w:rPr>
          <w:i/>
          <w:iCs/>
        </w:rPr>
        <w:t xml:space="preserve">Stijging op de sociale ladder is gekoppeld aan het genotsysteem in ons lichaam. Maar zo is daling gekoppeld aan ons pijnsysteem... </w:t>
      </w:r>
    </w:p>
    <w:p w:rsidR="005101AA" w:rsidRDefault="005101AA">
      <w:pPr>
        <w:rPr>
          <w:rFonts w:cstheme="minorBidi"/>
        </w:rPr>
      </w:pPr>
    </w:p>
    <w:p w:rsidR="005101AA" w:rsidRDefault="005101AA">
      <w:r>
        <w:t xml:space="preserve">Opvallend is dat in samenlevingen met grote verschillen tussen arm en rijk ook de rijken problemen hebben: nl. vanuit zorg om verlies van status, verlies van hun macht. Dus rijkdom is geen garantie voor welbevinden. (Was het niet Wim Kan die ons de paradox voorlegde dat je ‘maar beter arm kon zijn, want dan had je tenminste iets om naar te streven. Terwijl de rijken alleen maar bang waren om die rijkdom te verliezen..!”) </w:t>
      </w:r>
    </w:p>
    <w:p w:rsidR="005101AA" w:rsidRDefault="005101AA"/>
    <w:p w:rsidR="005101AA" w:rsidRDefault="005101AA">
      <w:r>
        <w:t>De op hebzucht gebaseerde vrije markt leidt kennelijk niet tot een betere wereld.</w:t>
      </w:r>
    </w:p>
    <w:p w:rsidR="005101AA" w:rsidRDefault="005101AA">
      <w:r>
        <w:rPr>
          <w:i/>
          <w:iCs/>
        </w:rPr>
        <w:t>Een betere wereld</w:t>
      </w:r>
      <w:r>
        <w:t xml:space="preserve"> – het ideaal van Chiara, van velen, van u en mij... </w:t>
      </w:r>
    </w:p>
    <w:p w:rsidR="005101AA" w:rsidRDefault="005101AA">
      <w:r>
        <w:t>Hoe bereiken we die betere wereld?</w:t>
      </w:r>
    </w:p>
    <w:p w:rsidR="005101AA" w:rsidRDefault="005101AA"/>
    <w:p w:rsidR="005101AA" w:rsidRDefault="005101AA"/>
    <w:p w:rsidR="005101AA" w:rsidRDefault="005101AA">
      <w:pPr>
        <w:rPr>
          <w:b/>
          <w:bCs/>
        </w:rPr>
      </w:pPr>
      <w:r>
        <w:rPr>
          <w:b/>
          <w:bCs/>
        </w:rPr>
        <w:t xml:space="preserve">Er zijn twee dingen die we kunnen doen: </w:t>
      </w:r>
    </w:p>
    <w:p w:rsidR="005101AA" w:rsidRDefault="005101AA">
      <w:r>
        <w:t xml:space="preserve">We kunnen aan onszelf werken en immateriële waarden weer meer op de voorgrond helpen plaatsen, omdat we diep van binnen weten dat de grootste rijkdom onze liefde is, onze liefde voor mensen. Liefde, verdraagzaamheid, vergevingsgezindheid, je in de ander verplaatsen – als we die kwaliteiten in onszelf versterken, zullen we een vriend kunnen zijn voor anderen. </w:t>
      </w:r>
      <w:r>
        <w:rPr>
          <w:i/>
          <w:iCs/>
          <w:lang w:val="en-US"/>
        </w:rPr>
        <w:t>“Love me most when I deserve it least, that’s when I need it most.”</w:t>
      </w:r>
      <w:r>
        <w:rPr>
          <w:lang w:val="en-US"/>
        </w:rPr>
        <w:t xml:space="preserve"> </w:t>
      </w:r>
      <w:r>
        <w:t>(“Hou het meeste van me als ik het het minste verdien, want dan heb ik het het hardste nodig.”)</w:t>
      </w:r>
    </w:p>
    <w:p w:rsidR="005101AA" w:rsidRDefault="005101AA">
      <w:r>
        <w:t>Hoe kunnen we het beste in onszelf naar boven halen? En – welke innerlijke houding kan ons, kan mij ondersteunen in ons streven naar meer gelijkheid?</w:t>
      </w:r>
    </w:p>
    <w:p w:rsidR="005101AA" w:rsidRDefault="005101AA"/>
    <w:p w:rsidR="005101AA" w:rsidRDefault="005101AA">
      <w:r>
        <w:t xml:space="preserve">Als we innerlijk sterk staan, dan kunnen we ons sámen sterk maken om de grote economische ongelijkheden te helpen verkleinen. Onze idealen voor een betere wereld kunnen wij een stem geven. Chiara pleitte voor meer sociale rechtvaardigheid in de wereld. Voor grotere  economische gelijkheid. Als we de handen ineen slaan kunnen we ons samen sterk maken voor de idealen van een betere samenleving voor nu, voor straks. Begin vandaag nog! </w:t>
      </w:r>
    </w:p>
    <w:p w:rsidR="005101AA" w:rsidRDefault="005101AA">
      <w:r>
        <w:t>Tot slot wil ik graag een gedicht voorlezen van Hans Bouma, en vervangt u het woordje “elkaar” gerust door “mezelf”:</w:t>
      </w:r>
    </w:p>
    <w:p w:rsidR="005101AA" w:rsidRDefault="005101AA"/>
    <w:p w:rsidR="005101AA" w:rsidRDefault="005101AA">
      <w:pPr>
        <w:widowControl w:val="0"/>
        <w:autoSpaceDE w:val="0"/>
        <w:autoSpaceDN w:val="0"/>
        <w:adjustRightInd w:val="0"/>
        <w:spacing w:after="240"/>
        <w:rPr>
          <w:rFonts w:cstheme="minorBidi"/>
          <w:lang w:eastAsia="ja-JP"/>
        </w:rPr>
      </w:pPr>
      <w:r>
        <w:rPr>
          <w:i/>
          <w:iCs/>
          <w:lang w:eastAsia="ja-JP"/>
        </w:rPr>
        <w:t>“Elkaar niet afbreken, maar opbouwen. </w:t>
      </w:r>
    </w:p>
    <w:p w:rsidR="005101AA" w:rsidRDefault="005101AA">
      <w:pPr>
        <w:widowControl w:val="0"/>
        <w:autoSpaceDE w:val="0"/>
        <w:autoSpaceDN w:val="0"/>
        <w:adjustRightInd w:val="0"/>
        <w:spacing w:after="240"/>
        <w:rPr>
          <w:rFonts w:cstheme="minorBidi"/>
          <w:lang w:eastAsia="ja-JP"/>
        </w:rPr>
      </w:pPr>
      <w:r>
        <w:rPr>
          <w:i/>
          <w:iCs/>
          <w:lang w:eastAsia="ja-JP"/>
        </w:rPr>
        <w:t>Elkaar niet ontmoedigen, maar inspireren. </w:t>
      </w:r>
    </w:p>
    <w:p w:rsidR="005101AA" w:rsidRDefault="005101AA">
      <w:pPr>
        <w:widowControl w:val="0"/>
        <w:autoSpaceDE w:val="0"/>
        <w:autoSpaceDN w:val="0"/>
        <w:adjustRightInd w:val="0"/>
        <w:spacing w:after="240"/>
        <w:rPr>
          <w:i/>
          <w:iCs/>
          <w:lang w:eastAsia="ja-JP"/>
        </w:rPr>
      </w:pPr>
      <w:r>
        <w:rPr>
          <w:i/>
          <w:iCs/>
          <w:lang w:eastAsia="ja-JP"/>
        </w:rPr>
        <w:t>Elkaar tot licht, elkaar tot vrede zijn.</w:t>
      </w:r>
    </w:p>
    <w:p w:rsidR="005101AA" w:rsidRDefault="005101AA">
      <w:pPr>
        <w:widowControl w:val="0"/>
        <w:autoSpaceDE w:val="0"/>
        <w:autoSpaceDN w:val="0"/>
        <w:adjustRightInd w:val="0"/>
        <w:spacing w:after="240"/>
        <w:rPr>
          <w:rFonts w:cstheme="minorBidi"/>
          <w:sz w:val="16"/>
          <w:szCs w:val="16"/>
          <w:lang w:eastAsia="ja-JP"/>
        </w:rPr>
      </w:pPr>
    </w:p>
    <w:p w:rsidR="005101AA" w:rsidRDefault="005101AA">
      <w:pPr>
        <w:widowControl w:val="0"/>
        <w:autoSpaceDE w:val="0"/>
        <w:autoSpaceDN w:val="0"/>
        <w:adjustRightInd w:val="0"/>
        <w:spacing w:after="240"/>
        <w:rPr>
          <w:rFonts w:cstheme="minorBidi"/>
          <w:lang w:eastAsia="ja-JP"/>
        </w:rPr>
      </w:pPr>
      <w:r>
        <w:rPr>
          <w:i/>
          <w:iCs/>
          <w:lang w:eastAsia="ja-JP"/>
        </w:rPr>
        <w:t>Wie die ander ook is, een mens is hij. </w:t>
      </w:r>
    </w:p>
    <w:p w:rsidR="005101AA" w:rsidRDefault="005101AA">
      <w:pPr>
        <w:widowControl w:val="0"/>
        <w:autoSpaceDE w:val="0"/>
        <w:autoSpaceDN w:val="0"/>
        <w:adjustRightInd w:val="0"/>
        <w:spacing w:after="240"/>
        <w:rPr>
          <w:rFonts w:cstheme="minorBidi"/>
          <w:lang w:eastAsia="ja-JP"/>
        </w:rPr>
      </w:pPr>
      <w:r>
        <w:rPr>
          <w:i/>
          <w:iCs/>
          <w:lang w:eastAsia="ja-JP"/>
        </w:rPr>
        <w:t>Geloof in hem, verwacht veel van hem. </w:t>
      </w:r>
    </w:p>
    <w:p w:rsidR="005101AA" w:rsidRDefault="005101AA">
      <w:pPr>
        <w:widowControl w:val="0"/>
        <w:autoSpaceDE w:val="0"/>
        <w:autoSpaceDN w:val="0"/>
        <w:adjustRightInd w:val="0"/>
        <w:spacing w:after="240"/>
        <w:rPr>
          <w:rFonts w:cstheme="minorBidi"/>
          <w:lang w:eastAsia="ja-JP"/>
        </w:rPr>
      </w:pPr>
      <w:r>
        <w:rPr>
          <w:i/>
          <w:iCs/>
          <w:lang w:eastAsia="ja-JP"/>
        </w:rPr>
        <w:t>Doe een beroep op zijn goedheid, z’n creativiteit, z’n warmte. </w:t>
      </w:r>
    </w:p>
    <w:p w:rsidR="005101AA" w:rsidRDefault="005101AA">
      <w:pPr>
        <w:widowControl w:val="0"/>
        <w:autoSpaceDE w:val="0"/>
        <w:autoSpaceDN w:val="0"/>
        <w:adjustRightInd w:val="0"/>
        <w:spacing w:after="240"/>
        <w:rPr>
          <w:rFonts w:cstheme="minorBidi"/>
          <w:lang w:eastAsia="ja-JP"/>
        </w:rPr>
      </w:pPr>
      <w:r>
        <w:rPr>
          <w:i/>
          <w:iCs/>
          <w:lang w:eastAsia="ja-JP"/>
        </w:rPr>
        <w:t>Raak z’n ziel. </w:t>
      </w:r>
    </w:p>
    <w:p w:rsidR="005101AA" w:rsidRDefault="005101AA">
      <w:pPr>
        <w:widowControl w:val="0"/>
        <w:autoSpaceDE w:val="0"/>
        <w:autoSpaceDN w:val="0"/>
        <w:adjustRightInd w:val="0"/>
        <w:spacing w:after="240"/>
        <w:rPr>
          <w:rFonts w:cstheme="minorBidi"/>
          <w:lang w:eastAsia="ja-JP"/>
        </w:rPr>
      </w:pPr>
      <w:r>
        <w:rPr>
          <w:i/>
          <w:iCs/>
          <w:lang w:eastAsia="ja-JP"/>
        </w:rPr>
        <w:t>Zet hem aan tot het hoogste.</w:t>
      </w:r>
    </w:p>
    <w:p w:rsidR="005101AA" w:rsidRDefault="005101AA">
      <w:pPr>
        <w:widowControl w:val="0"/>
        <w:autoSpaceDE w:val="0"/>
        <w:autoSpaceDN w:val="0"/>
        <w:adjustRightInd w:val="0"/>
        <w:spacing w:after="240"/>
        <w:rPr>
          <w:rFonts w:cstheme="minorBidi"/>
          <w:sz w:val="16"/>
          <w:szCs w:val="16"/>
          <w:lang w:eastAsia="ja-JP"/>
        </w:rPr>
      </w:pPr>
      <w:r>
        <w:rPr>
          <w:rFonts w:cstheme="minorBidi"/>
          <w:i/>
          <w:iCs/>
          <w:sz w:val="16"/>
          <w:szCs w:val="16"/>
          <w:lang w:eastAsia="ja-JP"/>
        </w:rPr>
        <w:t> </w:t>
      </w:r>
    </w:p>
    <w:p w:rsidR="005101AA" w:rsidRDefault="005101AA">
      <w:pPr>
        <w:widowControl w:val="0"/>
        <w:autoSpaceDE w:val="0"/>
        <w:autoSpaceDN w:val="0"/>
        <w:adjustRightInd w:val="0"/>
        <w:spacing w:after="240"/>
        <w:rPr>
          <w:rFonts w:cstheme="minorBidi"/>
          <w:lang w:eastAsia="ja-JP"/>
        </w:rPr>
      </w:pPr>
      <w:r>
        <w:rPr>
          <w:i/>
          <w:iCs/>
          <w:lang w:eastAsia="ja-JP"/>
        </w:rPr>
        <w:t>Laat niemand vallen. Ieder mens is er één. </w:t>
      </w:r>
    </w:p>
    <w:p w:rsidR="005101AA" w:rsidRDefault="005101AA">
      <w:pPr>
        <w:widowControl w:val="0"/>
        <w:autoSpaceDE w:val="0"/>
        <w:autoSpaceDN w:val="0"/>
        <w:adjustRightInd w:val="0"/>
        <w:spacing w:after="240"/>
        <w:rPr>
          <w:rFonts w:cstheme="minorBidi"/>
          <w:lang w:eastAsia="ja-JP"/>
        </w:rPr>
      </w:pPr>
      <w:r>
        <w:rPr>
          <w:i/>
          <w:iCs/>
          <w:lang w:eastAsia="ja-JP"/>
        </w:rPr>
        <w:t>Die ander – schat hem naar waarde. </w:t>
      </w:r>
    </w:p>
    <w:p w:rsidR="005101AA" w:rsidRDefault="005101AA">
      <w:pPr>
        <w:widowControl w:val="0"/>
        <w:autoSpaceDE w:val="0"/>
        <w:autoSpaceDN w:val="0"/>
        <w:adjustRightInd w:val="0"/>
        <w:spacing w:after="240"/>
        <w:rPr>
          <w:rFonts w:cstheme="minorBidi"/>
          <w:lang w:eastAsia="ja-JP"/>
        </w:rPr>
      </w:pPr>
      <w:r>
        <w:rPr>
          <w:i/>
          <w:iCs/>
          <w:lang w:eastAsia="ja-JP"/>
        </w:rPr>
        <w:t>De prachtigste bloei kan hij bereiken.”  </w:t>
      </w:r>
    </w:p>
    <w:p w:rsidR="005101AA" w:rsidRDefault="005101AA">
      <w:pPr>
        <w:rPr>
          <w:rFonts w:cstheme="minorBidi"/>
          <w:sz w:val="16"/>
          <w:szCs w:val="16"/>
        </w:rPr>
      </w:pPr>
    </w:p>
    <w:p w:rsidR="005101AA" w:rsidRDefault="005101AA">
      <w:r>
        <w:t>Dank u wel!</w:t>
      </w:r>
    </w:p>
    <w:p w:rsidR="005101AA" w:rsidRDefault="005101AA">
      <w:pPr>
        <w:rPr>
          <w:rFonts w:cstheme="minorBidi"/>
          <w:sz w:val="16"/>
          <w:szCs w:val="16"/>
        </w:rPr>
      </w:pPr>
    </w:p>
    <w:p w:rsidR="005101AA" w:rsidRDefault="005101AA">
      <w:pPr>
        <w:rPr>
          <w:rFonts w:cstheme="minorBidi"/>
          <w:sz w:val="16"/>
          <w:szCs w:val="16"/>
        </w:rPr>
      </w:pPr>
    </w:p>
    <w:p w:rsidR="005101AA" w:rsidRDefault="005101AA">
      <w:r>
        <w:t xml:space="preserve">Mirjam Ateş-Snijdewind </w:t>
      </w:r>
    </w:p>
    <w:p w:rsidR="005101AA" w:rsidRDefault="005101AA">
      <w:pPr>
        <w:rPr>
          <w:rFonts w:cstheme="minorBidi"/>
          <w:sz w:val="16"/>
          <w:szCs w:val="16"/>
        </w:rPr>
      </w:pPr>
    </w:p>
    <w:p w:rsidR="005101AA" w:rsidRDefault="005101AA">
      <w:r>
        <w:t>Mariënkroon / Nieuwkuijk</w:t>
      </w:r>
    </w:p>
    <w:p w:rsidR="005101AA" w:rsidRDefault="005101AA">
      <w:r>
        <w:t>15.03.2015</w:t>
      </w:r>
    </w:p>
    <w:sectPr w:rsidR="005101AA" w:rsidSect="005101AA">
      <w:footerReference w:type="default" r:id="rId7"/>
      <w:pgSz w:w="11900" w:h="16840"/>
      <w:pgMar w:top="1417" w:right="1417" w:bottom="1417" w:left="1417" w:header="708" w:footer="708" w:gutter="0"/>
      <w:cols w:space="708"/>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101AA" w:rsidRDefault="005101AA">
      <w:pPr>
        <w:rPr>
          <w:rFonts w:cstheme="minorBidi"/>
        </w:rPr>
      </w:pPr>
      <w:r>
        <w:rPr>
          <w:rFonts w:cstheme="minorBidi"/>
        </w:rPr>
        <w:separator/>
      </w:r>
    </w:p>
  </w:endnote>
  <w:endnote w:type="continuationSeparator" w:id="0">
    <w:p w:rsidR="005101AA" w:rsidRDefault="005101AA">
      <w:pPr>
        <w:rPr>
          <w:rFonts w:cstheme="minorBidi"/>
        </w:rPr>
      </w:pPr>
      <w:r>
        <w:rPr>
          <w:rFonts w:cstheme="minorBidi"/>
        </w:rP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E0002AEF" w:usb1="C0007841" w:usb2="00000009" w:usb3="00000000" w:csb0="000001FF" w:csb1="00000000"/>
  </w:font>
  <w:font w:name="MS Mincho">
    <w:altName w:val="‚l‚r –¾’©"/>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101AA" w:rsidRDefault="005101AA">
    <w:pPr>
      <w:pStyle w:val="Footer"/>
      <w:framePr w:wrap="auto" w:vAnchor="text" w:hAnchor="margin" w:xAlign="center" w:y="1"/>
      <w:rPr>
        <w:rStyle w:val="PageNumber"/>
        <w:rFonts w:cstheme="minorBidi"/>
      </w:rPr>
    </w:pPr>
    <w:r>
      <w:rPr>
        <w:rStyle w:val="PageNumber"/>
      </w:rPr>
      <w:fldChar w:fldCharType="begin"/>
    </w:r>
    <w:r>
      <w:rPr>
        <w:rStyle w:val="PageNumber"/>
      </w:rPr>
      <w:instrText xml:space="preserve">PAGE  </w:instrText>
    </w:r>
    <w:r>
      <w:rPr>
        <w:rStyle w:val="PageNumber"/>
      </w:rPr>
      <w:fldChar w:fldCharType="separate"/>
    </w:r>
    <w:r>
      <w:rPr>
        <w:rStyle w:val="PageNumber"/>
        <w:noProof/>
      </w:rPr>
      <w:t>3</w:t>
    </w:r>
    <w:r>
      <w:rPr>
        <w:rStyle w:val="PageNumber"/>
      </w:rPr>
      <w:fldChar w:fldCharType="end"/>
    </w:r>
  </w:p>
  <w:p w:rsidR="005101AA" w:rsidRDefault="005101AA">
    <w:pPr>
      <w:pStyle w:val="Footer"/>
      <w:rPr>
        <w:rFonts w:cstheme="minorBidi"/>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101AA" w:rsidRDefault="005101AA">
      <w:pPr>
        <w:rPr>
          <w:rFonts w:cstheme="minorBidi"/>
        </w:rPr>
      </w:pPr>
      <w:r>
        <w:rPr>
          <w:rFonts w:cstheme="minorBidi"/>
        </w:rPr>
        <w:separator/>
      </w:r>
    </w:p>
  </w:footnote>
  <w:footnote w:type="continuationSeparator" w:id="0">
    <w:p w:rsidR="005101AA" w:rsidRDefault="005101AA">
      <w:pPr>
        <w:rPr>
          <w:rFonts w:cstheme="minorBidi"/>
        </w:rPr>
      </w:pPr>
      <w:r>
        <w:rPr>
          <w:rFonts w:cstheme="minorBidi"/>
        </w:rP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20"/>
  <w:hyphenationZone w:val="425"/>
  <w:doNotHyphenateCaps/>
  <w:displayHorizontalDrawingGridEvery w:val="0"/>
  <w:displayVerticalDrawingGridEvery w:val="0"/>
  <w:doNotUseMarginsForDrawingGridOrigin/>
  <w:characterSpacingControl w:val="doNotCompress"/>
  <w:doNotValidateAgainstSchema/>
  <w:doNotDemarcateInvalidXml/>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5101AA"/>
    <w:rsid w:val="005101AA"/>
  </w:rsids>
  <m:mathPr>
    <m:mathFont m:val="Cambria Math"/>
    <m:brkBin m:val="before"/>
    <m:brkBinSub m:val="--"/>
    <m:smallFrac m:val="off"/>
    <m:dispDef/>
    <m:lMargin m:val="0"/>
    <m:rMargin m:val="0"/>
    <m:defJc m:val="centerGroup"/>
    <m:wrapIndent m:val="1440"/>
    <m:intLim m:val="subSup"/>
    <m:naryLim m:val="undOvr"/>
  </m:mathPr>
  <w:uiCompat97To2003/>
  <w:themeFontLang w:val="nl-NL"/>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nl-NL" w:eastAsia="nl-NL"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nhideWhenUsed="0"/>
    <w:lsdException w:name="caption" w:uiPriority="35" w:qFormat="1"/>
    <w:lsdException w:name="page number" w:unhideWhenUsed="0"/>
    <w:lsdException w:name="Title" w:semiHidden="0" w:uiPriority="10" w:unhideWhenUsed="0" w:qFormat="1"/>
    <w:lsdException w:name="Default Paragraph Font" w:unhideWhenUsed="0"/>
    <w:lsdException w:name="Subtitle" w:semiHidden="0" w:uiPriority="11" w:unhideWhenUsed="0" w:qFormat="1"/>
    <w:lsdException w:name="Hyperlink" w:unhideWhenUsed="0"/>
    <w:lsdException w:name="FollowedHyperlink" w:unhideWhenUsed="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ascii="Times New Roman" w:eastAsia="MS Mincho" w:hAnsi="Times New Roman" w:cs="Times New Roman"/>
      <w:sz w:val="24"/>
      <w:szCs w:val="24"/>
      <w:lang w:eastAsia="en-US"/>
    </w:rPr>
  </w:style>
  <w:style w:type="character" w:default="1" w:styleId="DefaultParagraphFont">
    <w:name w:val="Default Paragraph Font"/>
    <w:uiPriority w:val="99"/>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Pr>
      <w:rFonts w:ascii="Times New Roman" w:hAnsi="Times New Roman" w:cs="Times New Roman"/>
      <w:color w:val="0000FF"/>
      <w:u w:val="single"/>
    </w:rPr>
  </w:style>
  <w:style w:type="character" w:styleId="FollowedHyperlink">
    <w:name w:val="FollowedHyperlink"/>
    <w:basedOn w:val="DefaultParagraphFont"/>
    <w:uiPriority w:val="99"/>
    <w:rPr>
      <w:rFonts w:ascii="Times New Roman" w:hAnsi="Times New Roman" w:cs="Times New Roman"/>
      <w:color w:val="800080"/>
      <w:u w:val="single"/>
    </w:rPr>
  </w:style>
  <w:style w:type="paragraph" w:styleId="Footer">
    <w:name w:val="footer"/>
    <w:basedOn w:val="Normal"/>
    <w:link w:val="FooterChar"/>
    <w:uiPriority w:val="99"/>
    <w:pPr>
      <w:tabs>
        <w:tab w:val="center" w:pos="4536"/>
        <w:tab w:val="right" w:pos="9072"/>
      </w:tabs>
    </w:pPr>
  </w:style>
  <w:style w:type="character" w:customStyle="1" w:styleId="FooterChar">
    <w:name w:val="Footer Char"/>
    <w:basedOn w:val="DefaultParagraphFont"/>
    <w:link w:val="Footer"/>
    <w:uiPriority w:val="99"/>
    <w:rPr>
      <w:rFonts w:ascii="Times New Roman" w:hAnsi="Times New Roman" w:cs="Times New Roman"/>
      <w:sz w:val="24"/>
      <w:szCs w:val="24"/>
      <w:lang w:eastAsia="en-US"/>
    </w:rPr>
  </w:style>
  <w:style w:type="character" w:styleId="PageNumber">
    <w:name w:val="page number"/>
    <w:basedOn w:val="DefaultParagraphFont"/>
    <w:uiPriority w:val="99"/>
    <w:rPr>
      <w:rFonts w:ascii="Times New Roman" w:hAnsi="Times New Roman" w:cs="Times New Roman"/>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ara.nl/Aflevering-2-Gelijkheid.10998.0.html" TargetMode="Externa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3</Pages>
  <Words>1077</Words>
  <Characters>6143</Characters>
  <Application>Microsoft Office Outlook</Application>
  <DocSecurity>0</DocSecurity>
  <Lines>0</Lines>
  <Paragraphs>0</Paragraphs>
  <ScaleCrop>false</ScaleCrop>
  <Company>Hewlett-Packard</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Gedenkdag CHIARA LUBICH</dc:title>
  <dc:subject/>
  <dc:creator>Mirjam Ates</dc:creator>
  <cp:keywords/>
  <dc:description/>
  <cp:lastModifiedBy>MichelBr</cp:lastModifiedBy>
  <cp:revision>2</cp:revision>
  <cp:lastPrinted>2015-03-15T21:11:00Z</cp:lastPrinted>
  <dcterms:created xsi:type="dcterms:W3CDTF">2015-03-31T15:59:00Z</dcterms:created>
  <dcterms:modified xsi:type="dcterms:W3CDTF">2015-03-31T15:59:00Z</dcterms:modified>
</cp:coreProperties>
</file>